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70" w:rsidRDefault="00E07970" w:rsidP="00E07970">
      <w:pPr>
        <w:pStyle w:val="xmsonormal"/>
        <w:spacing w:after="0"/>
      </w:pPr>
      <w:r>
        <w:rPr>
          <w:b/>
          <w:bCs/>
          <w:sz w:val="28"/>
          <w:szCs w:val="28"/>
        </w:rPr>
        <w:t>SBH Funds</w:t>
      </w:r>
      <w:r w:rsidR="00C2366B">
        <w:rPr>
          <w:b/>
          <w:bCs/>
          <w:sz w:val="28"/>
          <w:szCs w:val="28"/>
        </w:rPr>
        <w:tab/>
      </w:r>
      <w:r w:rsidR="00C2366B">
        <w:rPr>
          <w:b/>
          <w:bCs/>
          <w:sz w:val="28"/>
          <w:szCs w:val="28"/>
        </w:rPr>
        <w:tab/>
      </w:r>
      <w:r w:rsidR="00C2366B">
        <w:rPr>
          <w:b/>
          <w:bCs/>
          <w:sz w:val="28"/>
          <w:szCs w:val="28"/>
        </w:rPr>
        <w:tab/>
      </w:r>
      <w:r w:rsidR="00C2366B">
        <w:rPr>
          <w:b/>
          <w:bCs/>
          <w:sz w:val="28"/>
          <w:szCs w:val="28"/>
        </w:rPr>
        <w:tab/>
      </w:r>
      <w:r w:rsidR="00C2366B">
        <w:rPr>
          <w:b/>
          <w:bCs/>
          <w:sz w:val="28"/>
          <w:szCs w:val="28"/>
        </w:rPr>
        <w:tab/>
      </w:r>
      <w:r w:rsidR="00C2366B">
        <w:rPr>
          <w:b/>
          <w:bCs/>
          <w:sz w:val="28"/>
          <w:szCs w:val="28"/>
        </w:rPr>
        <w:tab/>
      </w:r>
      <w:r w:rsidR="00C2366B">
        <w:rPr>
          <w:b/>
          <w:bCs/>
          <w:sz w:val="28"/>
          <w:szCs w:val="28"/>
        </w:rPr>
        <w:tab/>
        <w:t>March 2021</w:t>
      </w:r>
      <w:bookmarkStart w:id="0" w:name="_GoBack"/>
      <w:bookmarkEnd w:id="0"/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Fund Performance to SBH Blended Benchmark for 1Q21</w:t>
      </w:r>
    </w:p>
    <w:p w:rsidR="00E07970" w:rsidRDefault="00E07970" w:rsidP="00E07970">
      <w:pPr>
        <w:pStyle w:val="xmsonormal"/>
        <w:spacing w:after="0"/>
      </w:pPr>
      <w:r>
        <w:t>IRF:  Blended benchmark:  5.62%; Fund performance:  5.12%; Fund performance after fees:  4.36%</w:t>
      </w:r>
    </w:p>
    <w:p w:rsidR="00E07970" w:rsidRDefault="00E07970" w:rsidP="00E07970">
      <w:pPr>
        <w:pStyle w:val="xmsonormal"/>
        <w:spacing w:after="0"/>
      </w:pPr>
      <w:r>
        <w:t>MRF:  Blended benchmark:  8.11%; Fund performance:  8.34%; Fund performance after fees:  7.63%</w:t>
      </w:r>
    </w:p>
    <w:p w:rsidR="00E07970" w:rsidRDefault="00E07970" w:rsidP="00E07970">
      <w:pPr>
        <w:pStyle w:val="xmsonormal"/>
        <w:spacing w:after="0"/>
      </w:pPr>
      <w:r>
        <w:t>ERF:  Blended benchmark:  14.98%; Fund performance:  14.59%; Fund performance after fees:  13.96%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 xml:space="preserve">Note:  ideally, we want fund performance after fees to </w:t>
      </w:r>
      <w:r>
        <w:rPr>
          <w:b/>
          <w:bCs/>
          <w:i/>
          <w:iCs/>
          <w:u w:val="single"/>
        </w:rPr>
        <w:t>exceed</w:t>
      </w:r>
      <w:r>
        <w:rPr>
          <w:b/>
          <w:bCs/>
        </w:rPr>
        <w:t xml:space="preserve"> the blended benchmark</w:t>
      </w:r>
    </w:p>
    <w:p w:rsidR="00E07970" w:rsidRDefault="00E07970" w:rsidP="00E07970">
      <w:pPr>
        <w:pStyle w:val="xmsonormal"/>
        <w:spacing w:after="0"/>
      </w:pPr>
      <w:r>
        <w:t> 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IPS Targets and Ranges</w:t>
      </w:r>
    </w:p>
    <w:p w:rsidR="00E07970" w:rsidRDefault="00E07970" w:rsidP="00E07970">
      <w:pPr>
        <w:pStyle w:val="xmsonormal"/>
        <w:spacing w:after="0"/>
      </w:pPr>
      <w:r>
        <w:t>IRF:  within IPS Range boundaries</w:t>
      </w:r>
    </w:p>
    <w:p w:rsidR="00E07970" w:rsidRDefault="00E07970" w:rsidP="00E07970">
      <w:pPr>
        <w:pStyle w:val="xmsonormal"/>
        <w:spacing w:after="0"/>
      </w:pPr>
      <w:r>
        <w:t>MRF:  within IPS Range boundaries</w:t>
      </w:r>
    </w:p>
    <w:p w:rsidR="00E07970" w:rsidRDefault="00E07970" w:rsidP="00E07970">
      <w:pPr>
        <w:pStyle w:val="xmsonormal"/>
        <w:spacing w:after="0"/>
      </w:pPr>
      <w:r>
        <w:t>ERF:  within IPS Range boundaries</w:t>
      </w:r>
    </w:p>
    <w:p w:rsidR="00E07970" w:rsidRDefault="00E07970" w:rsidP="00E07970">
      <w:pPr>
        <w:pStyle w:val="xmsonormal"/>
        <w:spacing w:after="0"/>
      </w:pPr>
      <w:r>
        <w:t> 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Performance of Assets in Funds</w:t>
      </w:r>
    </w:p>
    <w:p w:rsidR="00E07970" w:rsidRDefault="00E07970" w:rsidP="00E07970">
      <w:pPr>
        <w:pStyle w:val="xmsonormal"/>
        <w:spacing w:after="0"/>
      </w:pPr>
      <w:r>
        <w:t>IRF:  the assets remaining in the fund are performing at +3.7% since acquisition.</w:t>
      </w:r>
    </w:p>
    <w:p w:rsidR="00E07970" w:rsidRDefault="00E07970" w:rsidP="00E07970">
      <w:pPr>
        <w:pStyle w:val="xmsonormal"/>
        <w:spacing w:after="0"/>
      </w:pPr>
      <w:r>
        <w:t>MRF:  the assets remaining in the fund are performing at +16.6% since acquisition.</w:t>
      </w:r>
    </w:p>
    <w:p w:rsidR="00E07970" w:rsidRDefault="00E07970" w:rsidP="00E07970">
      <w:pPr>
        <w:pStyle w:val="xmsonormal"/>
        <w:spacing w:after="0"/>
      </w:pPr>
      <w:r>
        <w:t>ERF:  the assets remaining in the fund are performing at +26.2% since acquisition.</w:t>
      </w:r>
    </w:p>
    <w:p w:rsidR="00E07970" w:rsidRDefault="00E07970" w:rsidP="00E07970">
      <w:pPr>
        <w:pStyle w:val="xmsonormal"/>
        <w:spacing w:after="0"/>
      </w:pPr>
      <w:r>
        <w:t>All three funds:  the totals of assets remaining in all funds are performing at +15.8% since acquisition.</w:t>
      </w:r>
    </w:p>
    <w:p w:rsidR="00E07970" w:rsidRDefault="00E07970" w:rsidP="00E07970">
      <w:pPr>
        <w:pStyle w:val="xmsonormal"/>
        <w:spacing w:after="0"/>
      </w:pPr>
      <w:r>
        <w:t> 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Cash Holdings within Funds</w:t>
      </w:r>
    </w:p>
    <w:p w:rsidR="00E07970" w:rsidRDefault="00E07970" w:rsidP="00E07970">
      <w:pPr>
        <w:pStyle w:val="xmsonormal"/>
        <w:spacing w:after="0"/>
      </w:pPr>
      <w:r>
        <w:t>IRF:  the cash balance is at $58K, or 4.7%, which is within the Range of the IPS.</w:t>
      </w:r>
    </w:p>
    <w:p w:rsidR="00E07970" w:rsidRDefault="00E07970" w:rsidP="00E07970">
      <w:pPr>
        <w:pStyle w:val="xmsonormal"/>
        <w:spacing w:after="0"/>
      </w:pPr>
      <w:r>
        <w:t>MRF:  the cash balance is at $391K, or 4.4%, which is within the Range of the IPS.</w:t>
      </w:r>
    </w:p>
    <w:p w:rsidR="00E07970" w:rsidRDefault="00E07970" w:rsidP="00E07970">
      <w:pPr>
        <w:pStyle w:val="xmsonormal"/>
        <w:spacing w:after="0"/>
      </w:pPr>
      <w:r>
        <w:t>ERF:  the cash balance is at $7K, or 0.7%, which is within the Range of the IPS.</w:t>
      </w:r>
    </w:p>
    <w:p w:rsidR="00E07970" w:rsidRDefault="00E07970" w:rsidP="00E07970">
      <w:pPr>
        <w:pStyle w:val="xmsonormal"/>
        <w:spacing w:after="0"/>
      </w:pPr>
      <w:r>
        <w:t>Total cash in the SBH funds is at $456K.</w:t>
      </w:r>
    </w:p>
    <w:p w:rsidR="00E07970" w:rsidRDefault="00E07970" w:rsidP="00E07970">
      <w:pPr>
        <w:pStyle w:val="xmsonormal"/>
        <w:spacing w:after="0"/>
      </w:pPr>
      <w:r>
        <w:t> 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Sale of Assets During the Month</w:t>
      </w:r>
    </w:p>
    <w:p w:rsidR="00E07970" w:rsidRDefault="00E07970" w:rsidP="00E07970">
      <w:pPr>
        <w:pStyle w:val="xmsonormal"/>
        <w:spacing w:after="0"/>
      </w:pPr>
      <w:r>
        <w:t>IRF:  Sold approximately $5K in assets during the month, at a 68% profit</w:t>
      </w:r>
    </w:p>
    <w:p w:rsidR="00E07970" w:rsidRDefault="00E07970" w:rsidP="00E07970">
      <w:pPr>
        <w:pStyle w:val="xmsonormal"/>
        <w:spacing w:after="0"/>
      </w:pPr>
      <w:r>
        <w:t>MRF:  Sold approximately $200K in assets during the month, at a 1.8% loss (bond maturing).</w:t>
      </w:r>
    </w:p>
    <w:p w:rsidR="00E07970" w:rsidRDefault="00E07970" w:rsidP="00E07970">
      <w:pPr>
        <w:pStyle w:val="xmsonormal"/>
        <w:spacing w:after="0"/>
      </w:pPr>
      <w:r>
        <w:t xml:space="preserve">ERF:  No sales of assets during month.  </w:t>
      </w:r>
    </w:p>
    <w:p w:rsidR="00E07970" w:rsidRDefault="00E07970" w:rsidP="00E07970">
      <w:pPr>
        <w:pStyle w:val="xmsonormal"/>
        <w:spacing w:after="0"/>
      </w:pPr>
      <w:r>
        <w:t> </w:t>
      </w:r>
    </w:p>
    <w:p w:rsidR="00E07970" w:rsidRDefault="00E07970" w:rsidP="00E07970">
      <w:pPr>
        <w:pStyle w:val="xmsonormal"/>
        <w:spacing w:after="0"/>
      </w:pPr>
      <w:r>
        <w:rPr>
          <w:b/>
          <w:bCs/>
          <w:sz w:val="28"/>
          <w:szCs w:val="28"/>
        </w:rPr>
        <w:t>JPM Operating Cash Fund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 xml:space="preserve">IPS Targets and Ranges:  </w:t>
      </w:r>
      <w:r>
        <w:t>now at 24% Cash; 76% Fixed Income; both inside of IPS ranges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Performance:</w:t>
      </w:r>
      <w:r>
        <w:t>  nominal returns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Cash Holdings:</w:t>
      </w:r>
      <w:r>
        <w:t>  $1,297K, or 24%, within IPS range</w:t>
      </w:r>
    </w:p>
    <w:p w:rsidR="00E07970" w:rsidRDefault="00E07970" w:rsidP="00E07970">
      <w:pPr>
        <w:pStyle w:val="xmsonormal"/>
        <w:spacing w:after="0"/>
      </w:pPr>
      <w:r>
        <w:t> </w:t>
      </w:r>
    </w:p>
    <w:p w:rsidR="00E07970" w:rsidRDefault="00E07970" w:rsidP="00E07970">
      <w:pPr>
        <w:pStyle w:val="xmsonormal"/>
        <w:spacing w:after="0"/>
      </w:pPr>
      <w:r>
        <w:rPr>
          <w:b/>
          <w:bCs/>
          <w:sz w:val="28"/>
          <w:szCs w:val="28"/>
        </w:rPr>
        <w:t>Overall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Total cash excluding Chase deposit accounts</w:t>
      </w:r>
      <w:r>
        <w:t xml:space="preserve"> is $1,753K:  cash at SBH is $456K; cash at JPM is $1,296K.</w:t>
      </w:r>
    </w:p>
    <w:p w:rsidR="00E07970" w:rsidRDefault="00E07970" w:rsidP="00E07970">
      <w:pPr>
        <w:pStyle w:val="xmsonormal"/>
        <w:spacing w:after="0"/>
      </w:pPr>
      <w:r>
        <w:rPr>
          <w:b/>
          <w:bCs/>
        </w:rPr>
        <w:t>End of month market value:</w:t>
      </w:r>
    </w:p>
    <w:p w:rsidR="00E07970" w:rsidRDefault="00E07970" w:rsidP="00E07970">
      <w:pPr>
        <w:pStyle w:val="xmsolistparagraph"/>
        <w:numPr>
          <w:ilvl w:val="0"/>
          <w:numId w:val="1"/>
        </w:numPr>
        <w:spacing w:after="0"/>
        <w:ind w:left="780"/>
        <w:rPr>
          <w:rFonts w:eastAsia="Times New Roman"/>
        </w:rPr>
      </w:pPr>
      <w:r>
        <w:rPr>
          <w:rFonts w:eastAsia="Times New Roman"/>
        </w:rPr>
        <w:t>Of three SBH funds:  $11.049M</w:t>
      </w:r>
    </w:p>
    <w:p w:rsidR="00E07970" w:rsidRDefault="00E07970" w:rsidP="00E07970">
      <w:pPr>
        <w:pStyle w:val="xmsolistparagraph"/>
        <w:numPr>
          <w:ilvl w:val="0"/>
          <w:numId w:val="1"/>
        </w:numPr>
        <w:spacing w:after="0"/>
        <w:ind w:left="780"/>
        <w:rPr>
          <w:rFonts w:eastAsia="Times New Roman"/>
        </w:rPr>
      </w:pPr>
      <w:r>
        <w:rPr>
          <w:rFonts w:eastAsia="Times New Roman"/>
        </w:rPr>
        <w:t>Of JPM Operating Cash account:  $5.313M</w:t>
      </w:r>
    </w:p>
    <w:p w:rsidR="00E07970" w:rsidRDefault="00E07970" w:rsidP="00E07970">
      <w:pPr>
        <w:pStyle w:val="xmsolistparagraph"/>
        <w:numPr>
          <w:ilvl w:val="0"/>
          <w:numId w:val="1"/>
        </w:numPr>
        <w:spacing w:after="0"/>
        <w:ind w:left="780"/>
        <w:rPr>
          <w:rFonts w:eastAsia="Times New Roman"/>
        </w:rPr>
      </w:pPr>
      <w:r>
        <w:rPr>
          <w:rFonts w:eastAsia="Times New Roman"/>
        </w:rPr>
        <w:t>Grand Total:  $16.362M</w:t>
      </w:r>
    </w:p>
    <w:p w:rsidR="00E07970" w:rsidRDefault="00E07970" w:rsidP="00E07970">
      <w:pPr>
        <w:pStyle w:val="xmsolistparagraph"/>
        <w:numPr>
          <w:ilvl w:val="0"/>
          <w:numId w:val="1"/>
        </w:numPr>
        <w:spacing w:after="0"/>
        <w:ind w:left="780"/>
        <w:rPr>
          <w:rFonts w:eastAsia="Times New Roman"/>
        </w:rPr>
      </w:pPr>
      <w:r>
        <w:rPr>
          <w:rFonts w:eastAsia="Times New Roman"/>
        </w:rPr>
        <w:t>Last month’s Grand Total:  $16.326M</w:t>
      </w:r>
    </w:p>
    <w:p w:rsidR="00E07970" w:rsidRDefault="00E07970" w:rsidP="00E07970">
      <w:pPr>
        <w:pStyle w:val="xmsolistparagraph"/>
        <w:numPr>
          <w:ilvl w:val="1"/>
          <w:numId w:val="1"/>
        </w:numPr>
        <w:spacing w:after="0"/>
        <w:ind w:left="1500"/>
        <w:rPr>
          <w:rFonts w:eastAsia="Times New Roman"/>
        </w:rPr>
      </w:pPr>
      <w:r>
        <w:rPr>
          <w:rFonts w:eastAsia="Times New Roman"/>
        </w:rPr>
        <w:t>Delta from last month: up $35K</w:t>
      </w:r>
    </w:p>
    <w:p w:rsidR="00E07970" w:rsidRDefault="00E07970" w:rsidP="00E07970">
      <w:pPr>
        <w:pStyle w:val="xmsonormal"/>
        <w:spacing w:after="0"/>
      </w:pPr>
      <w:r>
        <w:t> </w:t>
      </w:r>
    </w:p>
    <w:p w:rsidR="00307E26" w:rsidRDefault="00307E26"/>
    <w:sectPr w:rsidR="0030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779F"/>
    <w:multiLevelType w:val="multilevel"/>
    <w:tmpl w:val="AC1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70"/>
    <w:rsid w:val="00307E26"/>
    <w:rsid w:val="00C2366B"/>
    <w:rsid w:val="00DD282F"/>
    <w:rsid w:val="00E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8F09"/>
  <w15:chartTrackingRefBased/>
  <w15:docId w15:val="{3F27AC12-2470-4EF5-8610-8543BFF5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07970"/>
    <w:pPr>
      <w:spacing w:line="252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07970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Webster</dc:creator>
  <cp:keywords/>
  <dc:description/>
  <cp:lastModifiedBy>David Webster</cp:lastModifiedBy>
  <cp:revision>3</cp:revision>
  <dcterms:created xsi:type="dcterms:W3CDTF">2021-06-04T19:24:00Z</dcterms:created>
  <dcterms:modified xsi:type="dcterms:W3CDTF">2021-06-04T19:24:00Z</dcterms:modified>
</cp:coreProperties>
</file>